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spacing w:before="0" w:beforeAutospacing="0" w:after="0" w:afterAutospacing="0" w:line="600" w:lineRule="exact"/>
        <w:ind w:right="0"/>
        <w:jc w:val="center"/>
        <w:rPr>
          <w:rFonts w:hint="eastAsia" w:ascii="宋体" w:hAnsi="宋体" w:eastAsia="宋体" w:cs="宋体"/>
          <w:b/>
          <w:bCs/>
          <w:i w:val="0"/>
          <w:iCs w:val="0"/>
          <w:caps w:val="0"/>
          <w:color w:val="393939"/>
          <w:spacing w:val="0"/>
          <w:sz w:val="44"/>
          <w:szCs w:val="44"/>
          <w:shd w:val="clear" w:fill="FFFFFF"/>
          <w:lang w:eastAsia="zh-CN"/>
        </w:rPr>
      </w:pPr>
      <w:r>
        <w:rPr>
          <w:rFonts w:hint="eastAsia" w:ascii="宋体" w:hAnsi="宋体" w:eastAsia="宋体" w:cs="宋体"/>
          <w:b/>
          <w:bCs/>
          <w:i w:val="0"/>
          <w:iCs w:val="0"/>
          <w:caps w:val="0"/>
          <w:color w:val="393939"/>
          <w:spacing w:val="0"/>
          <w:sz w:val="44"/>
          <w:szCs w:val="44"/>
          <w:shd w:val="clear" w:fill="FFFFFF"/>
          <w:lang w:eastAsia="zh-CN"/>
        </w:rPr>
        <w:t>危险化学品经营许可告知承诺制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spacing w:before="0" w:beforeAutospacing="0" w:after="0" w:afterAutospacing="0" w:line="600" w:lineRule="exact"/>
        <w:ind w:right="0"/>
        <w:jc w:val="center"/>
        <w:rPr>
          <w:rFonts w:hint="eastAsia" w:ascii="微软雅黑" w:hAnsi="微软雅黑" w:eastAsia="微软雅黑" w:cs="微软雅黑"/>
          <w:b/>
          <w:bCs/>
          <w:i w:val="0"/>
          <w:iCs w:val="0"/>
          <w:caps w:val="0"/>
          <w:color w:val="393939"/>
          <w:spacing w:val="0"/>
          <w:sz w:val="32"/>
          <w:szCs w:val="32"/>
          <w:shd w:val="clear" w:fill="FFFFFF"/>
          <w:lang w:eastAsia="zh-CN"/>
        </w:rPr>
      </w:pPr>
      <w:r>
        <w:rPr>
          <w:rFonts w:hint="eastAsia" w:ascii="宋体" w:hAnsi="宋体" w:eastAsia="宋体" w:cs="宋体"/>
          <w:b/>
          <w:bCs/>
          <w:i w:val="0"/>
          <w:iCs w:val="0"/>
          <w:caps w:val="0"/>
          <w:color w:val="393939"/>
          <w:spacing w:val="0"/>
          <w:sz w:val="44"/>
          <w:szCs w:val="44"/>
          <w:shd w:val="clear" w:fill="FFFFFF"/>
          <w:lang w:eastAsia="zh-CN"/>
        </w:rPr>
        <w:t>办事指南</w:t>
      </w:r>
    </w:p>
    <w:p>
      <w:pPr>
        <w:keepNext w:val="0"/>
        <w:keepLines w:val="0"/>
        <w:pageBreakBefore w:val="0"/>
        <w:kinsoku/>
        <w:wordWrap/>
        <w:overflowPunct/>
        <w:topLinePunct w:val="0"/>
        <w:autoSpaceDE/>
        <w:autoSpaceDN/>
        <w:bidi w:val="0"/>
        <w:adjustRightInd/>
        <w:snapToGrid/>
        <w:spacing w:beforeAutospacing="0" w:afterAutospacing="0" w:line="600" w:lineRule="exact"/>
        <w:jc w:val="both"/>
        <w:textAlignment w:val="auto"/>
        <w:rPr>
          <w:rFonts w:hint="eastAsia" w:asciiTheme="minorEastAsia" w:hAnsiTheme="minorEastAsia" w:eastAsiaTheme="minorEastAsia" w:cstheme="minorEastAsia"/>
          <w:b/>
          <w:bCs/>
          <w:sz w:val="28"/>
          <w:szCs w:val="28"/>
        </w:rPr>
      </w:pP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eastAsia="zh-CN"/>
        </w:rPr>
        <w:t>、</w:t>
      </w:r>
      <w:r>
        <w:rPr>
          <w:rFonts w:hint="eastAsia" w:ascii="黑体" w:hAnsi="黑体" w:eastAsia="黑体" w:cs="黑体"/>
          <w:b w:val="0"/>
          <w:bCs w:val="0"/>
          <w:color w:val="000000"/>
          <w:sz w:val="32"/>
          <w:szCs w:val="32"/>
        </w:rPr>
        <w:t>事项名称</w:t>
      </w:r>
      <w:r>
        <w:rPr>
          <w:rFonts w:hint="eastAsia" w:ascii="黑体" w:hAnsi="黑体" w:eastAsia="黑体" w:cs="黑体"/>
          <w:b w:val="0"/>
          <w:bCs w:val="0"/>
          <w:sz w:val="32"/>
          <w:szCs w:val="32"/>
        </w:rPr>
        <w:t>和编码</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事项名称：危险化学品经营许可</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 w:eastAsia="仿宋_GB2312"/>
          <w:b/>
          <w:bCs/>
          <w:sz w:val="32"/>
          <w:szCs w:val="32"/>
          <w:lang w:val="en-US" w:eastAsia="zh-CN"/>
        </w:rPr>
      </w:pPr>
      <w:r>
        <w:rPr>
          <w:rFonts w:hint="eastAsia" w:ascii="仿宋_GB2312" w:hAnsi="仿宋_GB2312" w:eastAsia="仿宋_GB2312" w:cs="仿宋_GB2312"/>
          <w:b w:val="0"/>
          <w:bCs w:val="0"/>
          <w:kern w:val="2"/>
          <w:sz w:val="32"/>
          <w:szCs w:val="32"/>
          <w:lang w:val="en-US" w:eastAsia="zh-CN" w:bidi="ar-SA"/>
        </w:rPr>
        <w:t>事项编码：</w:t>
      </w:r>
      <w:r>
        <w:rPr>
          <w:rFonts w:hint="eastAsia" w:ascii="仿宋_GB2312" w:hAnsi="仿宋" w:eastAsia="仿宋_GB2312" w:cstheme="minorBidi"/>
          <w:b w:val="0"/>
          <w:bCs w:val="0"/>
          <w:color w:val="auto"/>
          <w:kern w:val="2"/>
          <w:sz w:val="32"/>
          <w:szCs w:val="32"/>
          <w:lang w:val="en-US" w:eastAsia="zh-CN" w:bidi="ar-SA"/>
        </w:rPr>
        <w:t>000125045000</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二、适用范围</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本指南适用于危险化学品经营许可证的申请和办理。</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申请人自愿选择采用告知承诺制方式办理。</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申请人不愿承诺、无法承诺或者不愿承诺承担不实承诺法律责任的，按照一般程序办理。</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申请人有较严重不良信用记录、曾作出虚假承诺等情形的，在信用修复前不适用告知承诺制。</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三、审批依据</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危险化学品安全管理条例》（国务院令第591号）；2.《危险化学品经营许可证管理办理》（国家安监总局令〔2012〕第55号）；3.《国务院办公厅关于全面推行证明事项和涉企经营许可事项告知承诺制的指导意见》（国办发〔2020〕42号）；4.《湖南省人民政府办公厅关于印发&lt;湖南省全面推行涉企经营许可事项告知承诺制实施方案&gt;的通知》（湘政办发〔2021〕25号）；5.《湖南省人民政府办公厅关于印发&lt;湖南省深化“证照分离”改革实施方案&gt;的通知》（湘政办发〔2021〕45号）。</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四、受理机构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方正仿宋_GBK" w:hAnsi="方正仿宋_GBK" w:eastAsia="方正仿宋_GBK" w:cs="方正仿宋_GBK"/>
          <w:color w:val="000000"/>
          <w:sz w:val="32"/>
          <w:szCs w:val="32"/>
          <w:lang w:val="en-US" w:eastAsia="zh-CN"/>
        </w:rPr>
      </w:pPr>
      <w:r>
        <w:rPr>
          <w:rFonts w:hint="eastAsia" w:ascii="仿宋_GB2312" w:hAnsi="仿宋" w:eastAsia="仿宋_GB2312" w:cstheme="minorBidi"/>
          <w:b w:val="0"/>
          <w:bCs w:val="0"/>
          <w:kern w:val="2"/>
          <w:sz w:val="32"/>
          <w:szCs w:val="32"/>
          <w:lang w:val="en-US" w:eastAsia="zh-CN" w:bidi="ar-SA"/>
        </w:rPr>
        <w:t>株洲市芦淞区应急管理局</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五、决定机构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eastAsia" w:ascii="仿宋_GB2312" w:hAnsi="仿宋" w:eastAsia="仿宋_GB2312" w:cstheme="minorBidi"/>
          <w:b w:val="0"/>
          <w:bCs w:val="0"/>
          <w:kern w:val="2"/>
          <w:sz w:val="32"/>
          <w:szCs w:val="32"/>
          <w:lang w:val="en-US" w:eastAsia="zh-CN" w:bidi="ar-SA"/>
        </w:rPr>
        <w:t>株洲市芦淞区应急管理局</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六、申请条件及承诺内容</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（1）申请条件：</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1.从事危险化学品经营的单位（以下统称申请人）应当依法登记注册为企业，并具备下列基本条件</w:t>
      </w:r>
      <w:r>
        <w:rPr>
          <w:rFonts w:hint="eastAsia" w:ascii="仿宋_GB2312" w:hAnsi="仿宋_GB2312" w:eastAsia="仿宋_GB2312" w:cs="仿宋_GB2312"/>
          <w:color w:val="00000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1）经营和储存场所、设施、建筑物符合《建筑设计防火规范》（GB50016）、《石油化工企业设计防火规范》（GB50160）、《汽车加油加气站设计与施工规范》（GB50156）、《石油库设计规范》（GB50074）等相关国家标准、行业标准的规定</w:t>
      </w:r>
      <w:r>
        <w:rPr>
          <w:rFonts w:hint="eastAsia" w:ascii="仿宋_GB2312" w:hAnsi="仿宋_GB2312" w:eastAsia="仿宋_GB2312" w:cs="仿宋_GB2312"/>
          <w:color w:val="000000"/>
          <w:sz w:val="32"/>
          <w:szCs w:val="32"/>
          <w:lang w:val="en-US" w:eastAsia="zh-CN"/>
        </w:rPr>
        <w:t>；</w:t>
      </w:r>
      <w:r>
        <w:rPr>
          <w:rFonts w:hint="default" w:ascii="仿宋_GB2312" w:hAnsi="仿宋_GB2312" w:eastAsia="仿宋_GB2312" w:cs="仿宋_GB2312"/>
          <w:color w:val="00000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 xml:space="preserve">（2）企业主要负责人和安全生产管理人员具备与本企业危险化学品经营活动相适应的安全生产知识和管理能力，经专门的安全生产培训和安全生产监督管理部门考核合格，取得相应安全资格证书；特种作业人员经专门的安全作业培训，取得特种作业操作证书；其他从业人员依照有关规定经安全生产教育和专业技术培训合格；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（3）有健全的安全生产规章制度和岗位操作规程；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（4）有符合国家规定的危险化学品事故应急预案，并配备必要的应急救援器材、设备；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（5）法律、法规和国家标准或者行业标准规定的其他安全生产条件。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2.申请人经营剧毒化学品的，除符合第1条规定的条件外，还应当建立剧毒化学品双人验收、双人保管、双人发货、双把锁、双本账等管理制度。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3.申请人带有储存设施经营危险化学品的，除符合第1条规定的条件外，还应当具备下列条件：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 xml:space="preserve">（1）新设立的专门从事危险化学品仓储经营的，其储存设施建立在地方人民政府规划的用于危险化学品储存的专门区域内；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 xml:space="preserve">（2）储存设施与相关场所、设施、区域的距离符合有关法律、法规、规章和标准的规定；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 xml:space="preserve">（3）依照有关规定进行安全评价，安全评价报告符合《危险化学品经营企业安全评价细则》的要求；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 xml:space="preserve">（4）专职安全生产管理人员具备国民教育化工化学类或者安全工程类中等职业教育以上学历，或者化工化学类中级以上专业技术职称，或者危险物品安全类注册安全工程师资格；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 xml:space="preserve">（5）符合《危险化学品安全管理条例》、《危险化学品重大危险源监督管理暂行规定》、《常用危险化学品贮存通则》（GB15603）的相关规定。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申请人储存易燃、易爆、有毒、易扩散危险化学品的，除符合本条第一款规定的条件外，还应当符合《石油化工可燃气体和有毒气体检测报警设计规范》（GB50493）的规</w:t>
      </w:r>
      <w:r>
        <w:rPr>
          <w:rFonts w:hint="eastAsia" w:ascii="仿宋_GB2312" w:hAnsi="仿宋_GB2312" w:eastAsia="仿宋_GB2312" w:cs="仿宋_GB2312"/>
          <w:color w:val="000000"/>
          <w:sz w:val="32"/>
          <w:szCs w:val="32"/>
          <w:lang w:val="en-US" w:eastAsia="zh-CN"/>
        </w:rPr>
        <w:t>定。</w:t>
      </w:r>
      <w:bookmarkStart w:id="0" w:name="_GoBack"/>
      <w:bookmarkEnd w:id="0"/>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（2）承诺内容：</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1.所填写的相关信息真实、准确；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2.已经知悉资质认定部门告知的全部内容；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3.本机构能够符合许可部门告知的条件和技术能力要求， 并按照规定接受后续核查；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4.本机构能够提交许可部门告知的相关材料；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5.愿意承担虚假承诺或者承诺内容严重不实所引发的相应法律责任；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6. 所作承诺是本机构的真实意思表示。</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七、申请材料及告知承诺方式</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320" w:firstLineChars="100"/>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（一）申请材料：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申请办理</w:t>
      </w:r>
      <w:r>
        <w:rPr>
          <w:rFonts w:hint="eastAsia" w:ascii="仿宋_GB2312" w:hAnsi="仿宋_GB2312" w:eastAsia="仿宋_GB2312" w:cs="仿宋_GB2312"/>
          <w:b w:val="0"/>
          <w:bCs w:val="0"/>
          <w:kern w:val="2"/>
          <w:sz w:val="32"/>
          <w:szCs w:val="32"/>
          <w:lang w:val="en-US" w:eastAsia="zh-CN" w:bidi="ar-SA"/>
        </w:rPr>
        <w:t>危险化学品经营许可</w:t>
      </w:r>
      <w:r>
        <w:rPr>
          <w:rFonts w:hint="eastAsia" w:ascii="仿宋_GB2312" w:hAnsi="仿宋_GB2312" w:eastAsia="仿宋_GB2312" w:cs="仿宋_GB2312"/>
          <w:color w:val="000000"/>
          <w:sz w:val="32"/>
          <w:szCs w:val="32"/>
          <w:lang w:val="en-US" w:eastAsia="zh-CN"/>
        </w:rPr>
        <w:t>的单位，应当向所在地市级或县级发证机关提出申请，并提供下列申请材料：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1、工商行政管理部门颁发的企业性质营业执照或者企业名称预先核准文件；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2、安全评价报告；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3、企业主要负责人、安全生产管理人员、特种作业人员的资格证书和从业人员培训合格的证明材料；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4、经营场所产权证明文件或者租赁证明文件；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5、危险化学品经营许可证申请表；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6、储存设施证明文件；租赁储存设施的，需要提交租赁证明文件；储存设施新建、改建、扩建的，需要提交危险化学品建设项目安全设施竣工验收意见书；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7、危险化学品事故应急预案备案登记表；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8、安全生产规章制度和岗位操作规程的目录清单。</w:t>
      </w:r>
    </w:p>
    <w:p>
      <w:pPr>
        <w:keepNext w:val="0"/>
        <w:keepLines w:val="0"/>
        <w:pageBreakBefore w:val="0"/>
        <w:numPr>
          <w:ilvl w:val="0"/>
          <w:numId w:val="1"/>
        </w:numPr>
        <w:kinsoku/>
        <w:wordWrap/>
        <w:overflowPunct w:val="0"/>
        <w:topLinePunct w:val="0"/>
        <w:autoSpaceDE/>
        <w:autoSpaceDN/>
        <w:bidi w:val="0"/>
        <w:adjustRightInd w:val="0"/>
        <w:snapToGrid w:val="0"/>
        <w:spacing w:beforeAutospacing="0" w:afterAutospacing="0" w:line="600" w:lineRule="exact"/>
        <w:ind w:firstLine="320" w:firstLineChars="100"/>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告知承诺方式：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15" w:lineRule="auto"/>
        <w:ind w:right="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楷体" w:hAnsi="楷体" w:eastAsia="楷体" w:cs="楷体"/>
          <w:b w:val="0"/>
          <w:bCs w:val="0"/>
          <w:kern w:val="2"/>
          <w:sz w:val="32"/>
          <w:szCs w:val="32"/>
          <w:lang w:val="en-US" w:eastAsia="zh-CN" w:bidi="ar-SA"/>
        </w:rPr>
        <w:t xml:space="preserve">    </w:t>
      </w:r>
      <w:r>
        <w:rPr>
          <w:rFonts w:hint="eastAsia" w:ascii="仿宋_GB2312" w:hAnsi="仿宋_GB2312" w:eastAsia="仿宋_GB2312" w:cs="仿宋_GB2312"/>
          <w:b w:val="0"/>
          <w:bCs w:val="0"/>
          <w:color w:val="000000"/>
          <w:kern w:val="2"/>
          <w:sz w:val="32"/>
          <w:szCs w:val="32"/>
          <w:lang w:val="en-US" w:eastAsia="zh-CN" w:bidi="ar-SA"/>
        </w:rPr>
        <w:t>告知承诺书格式文本可从</w:t>
      </w:r>
      <w:r>
        <w:rPr>
          <w:rFonts w:hint="default" w:ascii="仿宋_GB2312" w:hAnsi="仿宋_GB2312" w:eastAsia="仿宋_GB2312" w:cs="仿宋_GB2312"/>
          <w:b w:val="0"/>
          <w:bCs w:val="0"/>
          <w:color w:val="000000"/>
          <w:kern w:val="2"/>
          <w:sz w:val="32"/>
          <w:szCs w:val="32"/>
          <w:lang w:val="en-US" w:eastAsia="zh-CN" w:bidi="ar-SA"/>
        </w:rPr>
        <w:t>株洲</w:t>
      </w:r>
      <w:r>
        <w:rPr>
          <w:rFonts w:hint="eastAsia" w:ascii="仿宋_GB2312" w:hAnsi="仿宋_GB2312" w:eastAsia="仿宋_GB2312" w:cs="仿宋_GB2312"/>
          <w:b w:val="0"/>
          <w:bCs w:val="0"/>
          <w:color w:val="000000"/>
          <w:kern w:val="2"/>
          <w:sz w:val="32"/>
          <w:szCs w:val="32"/>
          <w:lang w:val="en-US" w:eastAsia="zh-CN" w:bidi="ar-SA"/>
        </w:rPr>
        <w:t>市芦淞区政务服务中心</w:t>
      </w:r>
      <w:r>
        <w:rPr>
          <w:rFonts w:hint="default" w:ascii="仿宋_GB2312" w:hAnsi="仿宋_GB2312" w:eastAsia="仿宋_GB2312" w:cs="仿宋_GB2312"/>
          <w:b w:val="0"/>
          <w:bCs w:val="0"/>
          <w:color w:val="000000"/>
          <w:kern w:val="2"/>
          <w:sz w:val="32"/>
          <w:szCs w:val="32"/>
          <w:lang w:val="en-US" w:eastAsia="zh-CN" w:bidi="ar-SA"/>
        </w:rPr>
        <w:t>、株洲市</w:t>
      </w:r>
      <w:r>
        <w:rPr>
          <w:rFonts w:hint="eastAsia" w:ascii="仿宋_GB2312" w:hAnsi="仿宋_GB2312" w:eastAsia="仿宋_GB2312" w:cs="仿宋_GB2312"/>
          <w:b w:val="0"/>
          <w:bCs w:val="0"/>
          <w:color w:val="000000"/>
          <w:kern w:val="2"/>
          <w:sz w:val="32"/>
          <w:szCs w:val="32"/>
          <w:lang w:val="en-US" w:eastAsia="zh-CN" w:bidi="ar-SA"/>
        </w:rPr>
        <w:t>芦淞区</w:t>
      </w:r>
      <w:r>
        <w:rPr>
          <w:rFonts w:hint="default" w:ascii="仿宋_GB2312" w:hAnsi="仿宋_GB2312" w:eastAsia="仿宋_GB2312" w:cs="仿宋_GB2312"/>
          <w:b w:val="0"/>
          <w:bCs w:val="0"/>
          <w:color w:val="000000"/>
          <w:kern w:val="2"/>
          <w:sz w:val="32"/>
          <w:szCs w:val="32"/>
          <w:lang w:val="en-US" w:eastAsia="zh-CN" w:bidi="ar-SA"/>
        </w:rPr>
        <w:t>政府网站、株洲市</w:t>
      </w:r>
      <w:r>
        <w:rPr>
          <w:rFonts w:hint="eastAsia" w:ascii="仿宋_GB2312" w:hAnsi="仿宋_GB2312" w:eastAsia="仿宋_GB2312" w:cs="仿宋_GB2312"/>
          <w:b w:val="0"/>
          <w:bCs w:val="0"/>
          <w:color w:val="000000"/>
          <w:kern w:val="2"/>
          <w:sz w:val="32"/>
          <w:szCs w:val="32"/>
          <w:lang w:val="en-US" w:eastAsia="zh-CN" w:bidi="ar-SA"/>
        </w:rPr>
        <w:t>芦淞区</w:t>
      </w:r>
      <w:r>
        <w:rPr>
          <w:rFonts w:hint="default" w:ascii="仿宋_GB2312" w:hAnsi="仿宋_GB2312" w:eastAsia="仿宋_GB2312" w:cs="仿宋_GB2312"/>
          <w:b w:val="0"/>
          <w:bCs w:val="0"/>
          <w:color w:val="000000"/>
          <w:kern w:val="2"/>
          <w:sz w:val="32"/>
          <w:szCs w:val="32"/>
          <w:lang w:val="en-US" w:eastAsia="zh-CN" w:bidi="ar-SA"/>
        </w:rPr>
        <w:t>政务服务旗舰店</w:t>
      </w:r>
      <w:r>
        <w:rPr>
          <w:rFonts w:hint="eastAsia" w:ascii="仿宋_GB2312" w:hAnsi="仿宋_GB2312" w:eastAsia="仿宋_GB2312" w:cs="仿宋_GB2312"/>
          <w:b w:val="0"/>
          <w:bCs w:val="0"/>
          <w:color w:val="000000"/>
          <w:kern w:val="2"/>
          <w:sz w:val="32"/>
          <w:szCs w:val="32"/>
          <w:lang w:val="en-US" w:eastAsia="zh-CN" w:bidi="ar-SA"/>
        </w:rPr>
        <w:t>等平台处获取，申请人可自行打印、填写</w:t>
      </w:r>
      <w:r>
        <w:rPr>
          <w:rFonts w:hint="default" w:ascii="仿宋_GB2312" w:hAnsi="仿宋_GB2312" w:eastAsia="仿宋_GB2312" w:cs="仿宋_GB2312"/>
          <w:b w:val="0"/>
          <w:bCs w:val="0"/>
          <w:color w:val="000000"/>
          <w:kern w:val="2"/>
          <w:sz w:val="32"/>
          <w:szCs w:val="32"/>
          <w:lang w:val="en-US" w:eastAsia="zh-CN" w:bidi="ar-SA"/>
        </w:rPr>
        <w:t>，</w:t>
      </w:r>
      <w:r>
        <w:rPr>
          <w:rFonts w:hint="eastAsia" w:ascii="仿宋_GB2312" w:hAnsi="仿宋_GB2312" w:eastAsia="仿宋_GB2312" w:cs="仿宋_GB2312"/>
          <w:b w:val="0"/>
          <w:bCs w:val="0"/>
          <w:color w:val="000000"/>
          <w:kern w:val="2"/>
          <w:sz w:val="32"/>
          <w:szCs w:val="32"/>
          <w:lang w:val="en-US" w:eastAsia="zh-CN" w:bidi="ar-SA"/>
        </w:rPr>
        <w:t>并在申请办理</w:t>
      </w:r>
      <w:r>
        <w:rPr>
          <w:rFonts w:hint="eastAsia" w:ascii="仿宋_GB2312" w:hAnsi="仿宋" w:eastAsia="仿宋_GB2312" w:cstheme="minorBidi"/>
          <w:b w:val="0"/>
          <w:bCs w:val="0"/>
          <w:kern w:val="2"/>
          <w:sz w:val="32"/>
          <w:szCs w:val="32"/>
          <w:lang w:val="en-US" w:eastAsia="zh-CN" w:bidi="ar-SA"/>
        </w:rPr>
        <w:t>危险化学品经营许可</w:t>
      </w:r>
      <w:r>
        <w:rPr>
          <w:rFonts w:hint="eastAsia" w:ascii="仿宋_GB2312" w:hAnsi="仿宋_GB2312" w:eastAsia="仿宋_GB2312" w:cs="仿宋_GB2312"/>
          <w:b w:val="0"/>
          <w:bCs w:val="0"/>
          <w:color w:val="000000"/>
          <w:kern w:val="2"/>
          <w:sz w:val="32"/>
          <w:szCs w:val="32"/>
          <w:lang w:val="en-US" w:eastAsia="zh-CN" w:bidi="ar-SA"/>
        </w:rPr>
        <w:t>手续业务时与应当提交的其他材料一并提交。</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八、申请接收 </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接收方式：</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窗口接收：</w:t>
      </w:r>
      <w:r>
        <w:rPr>
          <w:rFonts w:hint="eastAsia" w:ascii="仿宋_GB2312" w:hAnsi="仿宋_GB2312" w:eastAsia="仿宋_GB2312" w:cs="仿宋_GB2312"/>
          <w:b w:val="0"/>
          <w:bCs w:val="0"/>
          <w:color w:val="000000"/>
          <w:kern w:val="2"/>
          <w:sz w:val="32"/>
          <w:szCs w:val="32"/>
          <w:lang w:val="en-US" w:eastAsia="zh-CN" w:bidi="ar-SA"/>
        </w:rPr>
        <w:t>株洲市芦淞区政务服务中心综合窗口</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leftChars="200"/>
        <w:rPr>
          <w:rFonts w:hint="eastAsia" w:ascii="黑体" w:hAnsi="黑体" w:eastAsia="黑体" w:cs="黑体"/>
          <w:b w:val="0"/>
          <w:bCs w:val="0"/>
          <w:sz w:val="32"/>
          <w:szCs w:val="32"/>
          <w:lang w:val="en-US" w:eastAsia="zh-CN"/>
        </w:rPr>
      </w:pPr>
      <w:r>
        <w:rPr>
          <w:rFonts w:hint="eastAsia" w:ascii="仿宋_GB2312" w:hAnsi="仿宋_GB2312" w:eastAsia="仿宋_GB2312" w:cs="仿宋_GB2312"/>
          <w:b w:val="0"/>
          <w:bCs w:val="0"/>
          <w:kern w:val="2"/>
          <w:sz w:val="32"/>
          <w:szCs w:val="32"/>
          <w:lang w:val="en-US" w:eastAsia="zh-CN" w:bidi="ar-SA"/>
        </w:rPr>
        <w:t xml:space="preserve"> </w:t>
      </w:r>
      <w:r>
        <w:rPr>
          <w:rFonts w:hint="eastAsia" w:ascii="黑体" w:hAnsi="黑体" w:eastAsia="黑体" w:cs="黑体"/>
          <w:b w:val="0"/>
          <w:bCs w:val="0"/>
          <w:sz w:val="32"/>
          <w:szCs w:val="32"/>
          <w:lang w:val="en-US" w:eastAsia="zh-CN"/>
        </w:rPr>
        <w:t>九、办理流程</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受理→审核（含现场核查）→办结</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十、审批时限</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320" w:firstLineChars="1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（1）法定办结时限30个工作日；</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320" w:firstLineChars="100"/>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（2）告知承诺制方式办理时限：申请人自愿签署告知承诺书，提交材料齐全符合法定形式，当场作出行政许可决定。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十一、审批收费依据及标准</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rPr>
        <w:t>不收费</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十二、审批结果</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eastAsia" w:ascii="仿宋_GB2312" w:hAnsi="微软雅黑" w:eastAsia="仿宋_GB2312" w:cs="宋体"/>
          <w:color w:val="000000"/>
          <w:kern w:val="0"/>
          <w:sz w:val="32"/>
          <w:szCs w:val="32"/>
        </w:rPr>
        <w:t>颁发《</w:t>
      </w:r>
      <w:r>
        <w:rPr>
          <w:rFonts w:hint="eastAsia" w:ascii="仿宋_GB2312" w:hAnsi="微软雅黑" w:eastAsia="仿宋_GB2312" w:cs="宋体"/>
          <w:color w:val="000000"/>
          <w:kern w:val="0"/>
          <w:sz w:val="32"/>
          <w:szCs w:val="32"/>
          <w:lang w:eastAsia="zh-CN"/>
        </w:rPr>
        <w:t>危险化学品经营许可证</w:t>
      </w:r>
      <w:r>
        <w:rPr>
          <w:rFonts w:hint="eastAsia" w:ascii="仿宋_GB2312" w:hAnsi="微软雅黑" w:eastAsia="仿宋_GB2312" w:cs="宋体"/>
          <w:color w:val="000000"/>
          <w:kern w:val="0"/>
          <w:sz w:val="32"/>
          <w:szCs w:val="32"/>
        </w:rPr>
        <w:t>》</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十三、结果送达</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作出行政许可决定后，通过电话方式告知服务对象，并通过现场领取或邮政快递送达。</w:t>
      </w: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咨询电话</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0731-28580689</w:t>
      </w:r>
    </w:p>
    <w:p>
      <w:pPr>
        <w:keepNext w:val="0"/>
        <w:keepLines w:val="0"/>
        <w:pageBreakBefore w:val="0"/>
        <w:numPr>
          <w:ilvl w:val="0"/>
          <w:numId w:val="2"/>
        </w:numPr>
        <w:kinsoku/>
        <w:wordWrap/>
        <w:overflowPunct w:val="0"/>
        <w:topLinePunct w:val="0"/>
        <w:autoSpaceDE/>
        <w:autoSpaceDN/>
        <w:bidi w:val="0"/>
        <w:adjustRightInd w:val="0"/>
        <w:snapToGrid w:val="0"/>
        <w:spacing w:beforeAutospacing="0" w:afterAutospacing="0" w:line="600" w:lineRule="exact"/>
        <w:ind w:left="0" w:leftChars="0"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eastAsia="zh-CN"/>
        </w:rPr>
        <w:t>办</w:t>
      </w:r>
      <w:r>
        <w:rPr>
          <w:rFonts w:hint="eastAsia" w:ascii="黑体" w:hAnsi="黑体" w:eastAsia="黑体" w:cs="宋体"/>
          <w:color w:val="000000"/>
          <w:kern w:val="0"/>
          <w:sz w:val="32"/>
          <w:szCs w:val="32"/>
        </w:rPr>
        <w:t>理时间</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冬季时间：星期一至星期五上午 9： 00—12:00</w:t>
      </w:r>
      <w:r>
        <w:rPr>
          <w:rFonts w:hint="eastAsia" w:ascii="仿宋_GB2312" w:hAnsi="仿宋_GB2312" w:eastAsia="仿宋_GB2312" w:cs="仿宋_GB2312"/>
          <w:b w:val="0"/>
          <w:bCs w:val="0"/>
          <w:kern w:val="2"/>
          <w:sz w:val="32"/>
          <w:szCs w:val="32"/>
          <w:lang w:val="en-US" w:eastAsia="zh-CN" w:bidi="ar-SA"/>
        </w:rPr>
        <w:t>，</w:t>
      </w:r>
      <w:r>
        <w:rPr>
          <w:rFonts w:hint="default" w:ascii="仿宋_GB2312" w:hAnsi="仿宋_GB2312" w:eastAsia="仿宋_GB2312" w:cs="仿宋_GB2312"/>
          <w:b w:val="0"/>
          <w:bCs w:val="0"/>
          <w:kern w:val="2"/>
          <w:sz w:val="32"/>
          <w:szCs w:val="32"/>
          <w:lang w:val="en-US" w:eastAsia="zh-CN" w:bidi="ar-SA"/>
        </w:rPr>
        <w:t>下午 13:30—17:30（法定节假日除外）</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夏季时间：星期一至星期五上午 9： 00—12:00</w:t>
      </w:r>
      <w:r>
        <w:rPr>
          <w:rFonts w:hint="eastAsia" w:ascii="仿宋_GB2312" w:hAnsi="仿宋_GB2312" w:eastAsia="仿宋_GB2312" w:cs="仿宋_GB2312"/>
          <w:b w:val="0"/>
          <w:bCs w:val="0"/>
          <w:kern w:val="2"/>
          <w:sz w:val="32"/>
          <w:szCs w:val="32"/>
          <w:lang w:val="en-US" w:eastAsia="zh-CN" w:bidi="ar-SA"/>
        </w:rPr>
        <w:t>，</w:t>
      </w:r>
      <w:r>
        <w:rPr>
          <w:rFonts w:hint="default" w:ascii="仿宋_GB2312" w:hAnsi="仿宋_GB2312" w:eastAsia="仿宋_GB2312" w:cs="仿宋_GB2312"/>
          <w:b w:val="0"/>
          <w:bCs w:val="0"/>
          <w:kern w:val="2"/>
          <w:sz w:val="32"/>
          <w:szCs w:val="32"/>
          <w:lang w:val="en-US" w:eastAsia="zh-CN" w:bidi="ar-SA"/>
        </w:rPr>
        <w:t>下午 14:00—18:00（法定节假日除外）</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12</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FB4969"/>
    <w:multiLevelType w:val="singleLevel"/>
    <w:tmpl w:val="A9FB4969"/>
    <w:lvl w:ilvl="0" w:tentative="0">
      <w:start w:val="14"/>
      <w:numFmt w:val="chineseCounting"/>
      <w:suff w:val="nothing"/>
      <w:lvlText w:val="%1、"/>
      <w:lvlJc w:val="left"/>
      <w:rPr>
        <w:rFonts w:hint="eastAsia"/>
      </w:rPr>
    </w:lvl>
  </w:abstractNum>
  <w:abstractNum w:abstractNumId="1">
    <w:nsid w:val="BC439AFA"/>
    <w:multiLevelType w:val="singleLevel"/>
    <w:tmpl w:val="BC439AF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71B7D"/>
    <w:rsid w:val="0B0039B2"/>
    <w:rsid w:val="0B9E47EA"/>
    <w:rsid w:val="0DA0762C"/>
    <w:rsid w:val="0EA07317"/>
    <w:rsid w:val="105A608E"/>
    <w:rsid w:val="12081FC5"/>
    <w:rsid w:val="12AB6745"/>
    <w:rsid w:val="137809C6"/>
    <w:rsid w:val="158207B8"/>
    <w:rsid w:val="15CA3481"/>
    <w:rsid w:val="16A5424C"/>
    <w:rsid w:val="181B318D"/>
    <w:rsid w:val="183B1DEF"/>
    <w:rsid w:val="18733439"/>
    <w:rsid w:val="18775F53"/>
    <w:rsid w:val="19713325"/>
    <w:rsid w:val="1A5963BD"/>
    <w:rsid w:val="1B376CBC"/>
    <w:rsid w:val="1B9205E6"/>
    <w:rsid w:val="1B9A7F7E"/>
    <w:rsid w:val="1E8A274B"/>
    <w:rsid w:val="20562FB3"/>
    <w:rsid w:val="21EC60D6"/>
    <w:rsid w:val="226F6227"/>
    <w:rsid w:val="24D40C2B"/>
    <w:rsid w:val="27A340E8"/>
    <w:rsid w:val="2817632C"/>
    <w:rsid w:val="288B29AC"/>
    <w:rsid w:val="2BA6120A"/>
    <w:rsid w:val="2BFF107E"/>
    <w:rsid w:val="2DD00569"/>
    <w:rsid w:val="2E074104"/>
    <w:rsid w:val="2ED8507B"/>
    <w:rsid w:val="2EF667AF"/>
    <w:rsid w:val="31066A8A"/>
    <w:rsid w:val="31901CBA"/>
    <w:rsid w:val="32EC03FA"/>
    <w:rsid w:val="33DC66D7"/>
    <w:rsid w:val="3542677A"/>
    <w:rsid w:val="380E2917"/>
    <w:rsid w:val="39F0743A"/>
    <w:rsid w:val="3C215F6C"/>
    <w:rsid w:val="3C641886"/>
    <w:rsid w:val="41B82234"/>
    <w:rsid w:val="437B6885"/>
    <w:rsid w:val="460849E4"/>
    <w:rsid w:val="4BDE4CEB"/>
    <w:rsid w:val="4E360A4E"/>
    <w:rsid w:val="50523385"/>
    <w:rsid w:val="51AB7B4F"/>
    <w:rsid w:val="52B55AA4"/>
    <w:rsid w:val="54DC0236"/>
    <w:rsid w:val="56DD12E0"/>
    <w:rsid w:val="59693CA1"/>
    <w:rsid w:val="598F6750"/>
    <w:rsid w:val="5A016DE9"/>
    <w:rsid w:val="5ADC73F4"/>
    <w:rsid w:val="5B4669F5"/>
    <w:rsid w:val="5B9A3911"/>
    <w:rsid w:val="5D935CED"/>
    <w:rsid w:val="5EA90EE2"/>
    <w:rsid w:val="66D17003"/>
    <w:rsid w:val="6C2F2B9F"/>
    <w:rsid w:val="6DCD4B4B"/>
    <w:rsid w:val="6E1A1564"/>
    <w:rsid w:val="701B055C"/>
    <w:rsid w:val="70510298"/>
    <w:rsid w:val="70893661"/>
    <w:rsid w:val="71184F2E"/>
    <w:rsid w:val="715B2E69"/>
    <w:rsid w:val="71D7664A"/>
    <w:rsid w:val="72D52666"/>
    <w:rsid w:val="76D16BAE"/>
    <w:rsid w:val="78445E9C"/>
    <w:rsid w:val="7B585989"/>
    <w:rsid w:val="7C946808"/>
    <w:rsid w:val="7DD344AA"/>
    <w:rsid w:val="7EE369C6"/>
    <w:rsid w:val="7FD47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Office_11.1.0.10502_F1E327BC-269C-435d-A152-05C5408002CA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2021-09-30T06:58:00Z</dcterms:created>
  <dc:creator>Administrator</dc:creator>
  <cp:lastModifiedBy>Administrator</cp:lastModifiedBy>
  <cp:lastPrinted>2021-10-19T06:23:00Z</cp:lastPrinted>
  <dcterms:modified xsi:type="dcterms:W3CDTF">2021-11-08T08:59:20Z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2052-11.1.0.10502</vt:lpwstr>
  </property>
  <property fmtid="{D5CDD505-2E9C-101B-9397-08002B2CF9AE}" pid="3" name="ICV">
    <vt:lpwstr>B454ACDEFE7342C88213ABDC6EF3CB20</vt:lpwstr>
  </property>
</Properties>
</file>